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10DE8F0C" w:rsidR="001E6426" w:rsidRPr="002D53C4" w:rsidRDefault="006B71B6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14 April</w:t>
      </w:r>
      <w:r w:rsidR="007E5615" w:rsidRPr="00AA6CF7">
        <w:rPr>
          <w:rFonts w:cs="Arial"/>
          <w:b/>
          <w:bCs/>
        </w:rPr>
        <w:t xml:space="preserve"> 2026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60428FEA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 w:rsidRPr="00AA6CF7">
        <w:rPr>
          <w:rFonts w:cs="Arial"/>
          <w:color w:val="212721"/>
          <w:lang w:eastAsia="en-GB"/>
        </w:rPr>
        <w:t xml:space="preserve">On </w:t>
      </w:r>
      <w:r w:rsidR="00820F96">
        <w:rPr>
          <w:rFonts w:cs="Arial"/>
          <w:color w:val="212721"/>
          <w:lang w:eastAsia="en-GB"/>
        </w:rPr>
        <w:t>1</w:t>
      </w:r>
      <w:r w:rsidR="006B71B6">
        <w:rPr>
          <w:rFonts w:cs="Arial"/>
          <w:color w:val="212721"/>
          <w:lang w:eastAsia="en-GB"/>
        </w:rPr>
        <w:t>4</w:t>
      </w:r>
      <w:r w:rsidR="00820F96">
        <w:rPr>
          <w:rFonts w:cs="Arial"/>
          <w:color w:val="212721"/>
          <w:lang w:eastAsia="en-GB"/>
        </w:rPr>
        <w:t xml:space="preserve"> </w:t>
      </w:r>
      <w:r w:rsidR="006B71B6">
        <w:rPr>
          <w:rFonts w:cs="Arial"/>
          <w:color w:val="212721"/>
          <w:lang w:eastAsia="en-GB"/>
        </w:rPr>
        <w:t>April</w:t>
      </w:r>
      <w:r w:rsidR="007E5615" w:rsidRPr="00AA6CF7">
        <w:rPr>
          <w:rFonts w:cs="Arial"/>
          <w:color w:val="212721"/>
          <w:lang w:eastAsia="en-GB"/>
        </w:rPr>
        <w:t xml:space="preserve"> 2026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7E5615">
        <w:rPr>
          <w:rFonts w:cs="Arial"/>
          <w:color w:val="212721"/>
          <w:lang w:eastAsia="en-GB"/>
        </w:rPr>
        <w:t xml:space="preserve">MUFG </w:t>
      </w:r>
      <w:r w:rsidR="00D5421E">
        <w:rPr>
          <w:rFonts w:cs="Arial"/>
          <w:color w:val="212721"/>
          <w:lang w:eastAsia="en-GB"/>
        </w:rPr>
        <w:t>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AA6CF7">
        <w:rPr>
          <w:rFonts w:cs="Arial"/>
          <w:color w:val="212721"/>
          <w:lang w:eastAsia="en-GB"/>
        </w:rPr>
        <w:t>1</w:t>
      </w:r>
      <w:r w:rsidR="006B71B6">
        <w:rPr>
          <w:rFonts w:cs="Arial"/>
          <w:color w:val="212721"/>
          <w:lang w:eastAsia="en-GB"/>
        </w:rPr>
        <w:t>3</w:t>
      </w:r>
      <w:r w:rsidR="00820F96">
        <w:rPr>
          <w:rFonts w:cs="Arial"/>
          <w:color w:val="212721"/>
          <w:lang w:eastAsia="en-GB"/>
        </w:rPr>
        <w:t xml:space="preserve"> </w:t>
      </w:r>
      <w:r w:rsidR="006B71B6">
        <w:rPr>
          <w:rFonts w:cs="Arial"/>
          <w:color w:val="212721"/>
          <w:lang w:eastAsia="en-GB"/>
        </w:rPr>
        <w:t>April</w:t>
      </w:r>
      <w:r w:rsidR="00AA6CF7">
        <w:rPr>
          <w:rFonts w:cs="Arial"/>
          <w:color w:val="212721"/>
          <w:lang w:eastAsia="en-GB"/>
        </w:rPr>
        <w:t xml:space="preserve"> 2026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8548CD">
        <w:rPr>
          <w:rFonts w:cs="Arial"/>
          <w:color w:val="212721"/>
          <w:lang w:eastAsia="en-GB"/>
        </w:rPr>
        <w:t>4,616</w:t>
      </w:r>
      <w:r w:rsidR="009B2680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AA6CF7">
        <w:rPr>
          <w:rFonts w:cs="Arial"/>
          <w:color w:val="212721"/>
          <w:lang w:eastAsia="en-GB"/>
        </w:rPr>
        <w:t>1</w:t>
      </w:r>
      <w:r w:rsidR="008548CD">
        <w:rPr>
          <w:rFonts w:cs="Arial"/>
          <w:color w:val="212721"/>
          <w:lang w:eastAsia="en-GB"/>
        </w:rPr>
        <w:t>3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740A5798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AA6CF7">
              <w:rPr>
                <w:rFonts w:cs="Arial"/>
                <w:b/>
                <w:color w:val="212721"/>
                <w:lang w:eastAsia="en-GB"/>
              </w:rPr>
              <w:t>1</w:t>
            </w:r>
            <w:r w:rsidR="008548CD">
              <w:rPr>
                <w:rFonts w:cs="Arial"/>
                <w:b/>
                <w:color w:val="212721"/>
                <w:lang w:eastAsia="en-GB"/>
              </w:rPr>
              <w:t xml:space="preserve">3 April </w:t>
            </w:r>
            <w:r w:rsidR="00AA6CF7">
              <w:rPr>
                <w:rFonts w:cs="Arial"/>
                <w:b/>
                <w:color w:val="212721"/>
                <w:lang w:eastAsia="en-GB"/>
              </w:rPr>
              <w:t>2026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26D1D52E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on </w:t>
            </w:r>
            <w:r w:rsidR="008548CD">
              <w:rPr>
                <w:rFonts w:cs="Arial"/>
                <w:b/>
                <w:color w:val="212721"/>
                <w:lang w:eastAsia="en-GB"/>
              </w:rPr>
              <w:t>13 April</w:t>
            </w:r>
            <w:r w:rsidR="00AA6CF7">
              <w:rPr>
                <w:rFonts w:cs="Arial"/>
                <w:b/>
                <w:color w:val="212721"/>
                <w:lang w:eastAsia="en-GB"/>
              </w:rPr>
              <w:t xml:space="preserve"> 2026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225CF50B" w:rsidR="00873B7C" w:rsidRDefault="008548CD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1,154</w:t>
            </w:r>
          </w:p>
        </w:tc>
        <w:tc>
          <w:tcPr>
            <w:tcW w:w="1843" w:type="dxa"/>
            <w:vAlign w:val="center"/>
          </w:tcPr>
          <w:p w14:paraId="45D0C45F" w14:textId="2D7A0EDB" w:rsidR="00873B7C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913" w:type="dxa"/>
            <w:vAlign w:val="center"/>
          </w:tcPr>
          <w:p w14:paraId="14FDCC39" w14:textId="004DC867" w:rsidR="00873B7C" w:rsidRPr="00AA6CF7" w:rsidRDefault="00820F96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</w:t>
            </w:r>
            <w:r w:rsidR="009E7540">
              <w:rPr>
                <w:rFonts w:cs="Arial"/>
                <w:color w:val="212721"/>
                <w:lang w:eastAsia="en-GB"/>
              </w:rPr>
              <w:t>8</w:t>
            </w:r>
            <w:r w:rsidR="00782CE6">
              <w:rPr>
                <w:rFonts w:cs="Arial"/>
                <w:color w:val="212721"/>
                <w:lang w:eastAsia="en-GB"/>
              </w:rPr>
              <w:t>4,816</w:t>
            </w:r>
          </w:p>
        </w:tc>
        <w:tc>
          <w:tcPr>
            <w:tcW w:w="1718" w:type="dxa"/>
            <w:vAlign w:val="center"/>
          </w:tcPr>
          <w:p w14:paraId="085FB82D" w14:textId="2FBFCF65" w:rsidR="00873B7C" w:rsidRPr="00452E06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33C8C" w:rsidRPr="00452E06">
              <w:rPr>
                <w:rFonts w:cs="Arial"/>
                <w:color w:val="212721"/>
                <w:lang w:eastAsia="en-GB"/>
              </w:rPr>
              <w:t>5</w:t>
            </w:r>
            <w:r w:rsidR="009E631F" w:rsidRPr="00452E06">
              <w:rPr>
                <w:rFonts w:cs="Arial"/>
                <w:color w:val="212721"/>
                <w:lang w:eastAsia="en-GB"/>
              </w:rPr>
              <w:t>6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7B4C1DE1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843" w:type="dxa"/>
            <w:vAlign w:val="center"/>
          </w:tcPr>
          <w:p w14:paraId="75C7DBE9" w14:textId="458AF5D1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913" w:type="dxa"/>
            <w:vAlign w:val="center"/>
          </w:tcPr>
          <w:p w14:paraId="0F4C7A26" w14:textId="10836B1C" w:rsidR="00FD4960" w:rsidRPr="00AA6CF7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AA6CF7">
              <w:rPr>
                <w:rFonts w:cs="Arial"/>
                <w:color w:val="212721"/>
                <w:lang w:eastAsia="en-GB"/>
              </w:rPr>
              <w:t>1,</w:t>
            </w:r>
            <w:r w:rsidR="001C5139">
              <w:rPr>
                <w:rFonts w:cs="Arial"/>
                <w:color w:val="212721"/>
                <w:lang w:eastAsia="en-GB"/>
              </w:rPr>
              <w:t>382,999</w:t>
            </w:r>
          </w:p>
        </w:tc>
        <w:tc>
          <w:tcPr>
            <w:tcW w:w="1718" w:type="dxa"/>
            <w:vAlign w:val="center"/>
          </w:tcPr>
          <w:p w14:paraId="03F6CB11" w14:textId="58094A0A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88220F" w:rsidRPr="00452E06">
              <w:rPr>
                <w:rFonts w:cs="Arial"/>
                <w:color w:val="212721"/>
                <w:lang w:eastAsia="en-GB"/>
              </w:rPr>
              <w:t>7</w:t>
            </w:r>
            <w:r w:rsidR="0037224B" w:rsidRPr="00452E06">
              <w:rPr>
                <w:rFonts w:cs="Arial"/>
                <w:color w:val="212721"/>
                <w:lang w:eastAsia="en-GB"/>
              </w:rPr>
              <w:t>9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3353E029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843" w:type="dxa"/>
            <w:vAlign w:val="center"/>
          </w:tcPr>
          <w:p w14:paraId="64FA1D13" w14:textId="304DD67D" w:rsidR="00FD496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913" w:type="dxa"/>
            <w:vAlign w:val="center"/>
          </w:tcPr>
          <w:p w14:paraId="6A3A4E8C" w14:textId="1E8435AC" w:rsidR="00FD496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</w:t>
            </w:r>
            <w:r w:rsidR="009E7540">
              <w:rPr>
                <w:rFonts w:cs="Arial"/>
                <w:color w:val="212721"/>
                <w:lang w:eastAsia="en-GB"/>
              </w:rPr>
              <w:t>1</w:t>
            </w:r>
            <w:r w:rsidR="000913AD">
              <w:rPr>
                <w:rFonts w:cs="Arial"/>
                <w:color w:val="212721"/>
                <w:lang w:eastAsia="en-GB"/>
              </w:rPr>
              <w:t>4,</w:t>
            </w:r>
            <w:r w:rsidR="001C5139">
              <w:rPr>
                <w:rFonts w:cs="Arial"/>
                <w:color w:val="212721"/>
                <w:lang w:eastAsia="en-GB"/>
              </w:rPr>
              <w:t>917</w:t>
            </w:r>
          </w:p>
        </w:tc>
        <w:tc>
          <w:tcPr>
            <w:tcW w:w="1718" w:type="dxa"/>
            <w:vAlign w:val="center"/>
          </w:tcPr>
          <w:p w14:paraId="59E4393C" w14:textId="26DF6D7B" w:rsidR="00FD4960" w:rsidRPr="00452E06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</w:t>
            </w:r>
            <w:r w:rsidR="001322A0" w:rsidRPr="00452E06">
              <w:rPr>
                <w:rFonts w:cs="Arial"/>
                <w:color w:val="212721"/>
                <w:lang w:eastAsia="en-GB"/>
              </w:rPr>
              <w:t>1</w:t>
            </w:r>
            <w:r w:rsidR="009E631F" w:rsidRPr="00452E06">
              <w:rPr>
                <w:rFonts w:cs="Arial"/>
                <w:color w:val="212721"/>
                <w:lang w:eastAsia="en-GB"/>
              </w:rPr>
              <w:t>2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0B39FB29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  <w:r w:rsidR="00EB3CBA">
              <w:rPr>
                <w:rFonts w:cs="Arial"/>
                <w:color w:val="212721"/>
                <w:lang w:eastAsia="en-GB"/>
              </w:rPr>
              <w:t xml:space="preserve"> Brown</w:t>
            </w:r>
          </w:p>
        </w:tc>
        <w:tc>
          <w:tcPr>
            <w:tcW w:w="1807" w:type="dxa"/>
            <w:vAlign w:val="center"/>
          </w:tcPr>
          <w:p w14:paraId="5ADB1756" w14:textId="25DCD04B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843" w:type="dxa"/>
            <w:vAlign w:val="center"/>
          </w:tcPr>
          <w:p w14:paraId="221B1F6D" w14:textId="609E7902" w:rsidR="003524E0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</w:t>
            </w:r>
            <w:r w:rsidR="008548CD">
              <w:rPr>
                <w:rFonts w:cs="Arial"/>
                <w:color w:val="212721"/>
                <w:lang w:eastAsia="en-GB"/>
              </w:rPr>
              <w:t>154</w:t>
            </w:r>
          </w:p>
        </w:tc>
        <w:tc>
          <w:tcPr>
            <w:tcW w:w="1913" w:type="dxa"/>
            <w:vAlign w:val="center"/>
          </w:tcPr>
          <w:p w14:paraId="059162A1" w14:textId="151D3206" w:rsidR="003524E0" w:rsidRPr="00AA6CF7" w:rsidRDefault="00820F9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8</w:t>
            </w:r>
            <w:r w:rsidR="001C5139">
              <w:rPr>
                <w:rFonts w:cs="Arial"/>
                <w:color w:val="212721"/>
                <w:lang w:eastAsia="en-GB"/>
              </w:rPr>
              <w:t>8,832</w:t>
            </w:r>
          </w:p>
        </w:tc>
        <w:tc>
          <w:tcPr>
            <w:tcW w:w="1718" w:type="dxa"/>
            <w:vAlign w:val="center"/>
          </w:tcPr>
          <w:p w14:paraId="35817FA6" w14:textId="141F54E0" w:rsidR="003524E0" w:rsidRPr="00452E06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 w:rsidRPr="00452E06">
              <w:rPr>
                <w:rFonts w:cs="Arial"/>
                <w:color w:val="212721"/>
                <w:lang w:eastAsia="en-GB"/>
              </w:rPr>
              <w:t>0.0</w:t>
            </w:r>
            <w:r w:rsidR="008638C8" w:rsidRPr="00452E06">
              <w:rPr>
                <w:rFonts w:cs="Arial"/>
                <w:color w:val="212721"/>
                <w:lang w:eastAsia="en-GB"/>
              </w:rPr>
              <w:t>5</w:t>
            </w:r>
            <w:r w:rsidRPr="00452E06"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353FBE89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</w:t>
                  </w:r>
                  <w:r w:rsidR="00347116">
                    <w:rPr>
                      <w:rFonts w:eastAsiaTheme="minorEastAsia" w:cs="Arial"/>
                    </w:rPr>
                    <w:t>1</w:t>
                  </w:r>
                  <w:r w:rsidR="0023508D">
                    <w:rPr>
                      <w:rFonts w:eastAsiaTheme="minorEastAsia" w:cs="Arial"/>
                    </w:rPr>
                    <w:t>3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44FE9CC8" w:rsidR="00CF7CBA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120FED37" w:rsidR="00CF7CBA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</w:t>
            </w:r>
            <w:r w:rsidR="001D558B">
              <w:rPr>
                <w:rFonts w:eastAsiaTheme="minorEastAsia" w:cs="Arial"/>
              </w:rPr>
              <w:t xml:space="preserve"> </w:t>
            </w:r>
            <w:r w:rsidR="0023508D">
              <w:rPr>
                <w:rFonts w:eastAsiaTheme="minorEastAsia" w:cs="Arial"/>
              </w:rPr>
              <w:t>April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0E23F468" w:rsidR="00997450" w:rsidRPr="00E95233" w:rsidRDefault="00EB3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>
              <w:rPr>
                <w:rFonts w:eastAsiaTheme="minorEastAsia" w:cs="Arial"/>
                <w:b/>
                <w:bCs/>
                <w:w w:val="110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2CAF5B18" w:rsidR="00997450" w:rsidRPr="00E95233" w:rsidRDefault="00820F96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43F033CC" w:rsidR="00997450" w:rsidRPr="00E95233" w:rsidRDefault="00AA6CF7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 April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7A443596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Operating Officer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2537F00A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23508D">
                    <w:rPr>
                      <w:rFonts w:eastAsiaTheme="minorEastAsia" w:cs="Arial"/>
                    </w:rPr>
                    <w:t>3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35C1B102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08B824EB" w:rsidR="00F203CB" w:rsidRPr="00EB3CBA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 April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747CC053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48273BB3" w:rsidR="00F203CB" w:rsidRPr="00EB3CBA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  <w:highlight w:val="yellow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 w:rsidR="0023508D">
              <w:rPr>
                <w:rFonts w:eastAsiaTheme="minorEastAsia" w:cs="Arial"/>
              </w:rPr>
              <w:t>3 April</w:t>
            </w:r>
            <w:r w:rsidR="00820F96">
              <w:rPr>
                <w:rFonts w:eastAsiaTheme="minorEastAsia" w:cs="Arial"/>
              </w:rPr>
              <w:t xml:space="preserve"> </w:t>
            </w:r>
            <w:r w:rsidRPr="00AA6CF7">
              <w:rPr>
                <w:rFonts w:eastAsiaTheme="minorEastAsia" w:cs="Arial"/>
              </w:rPr>
              <w:t>2026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2D438A9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</w:t>
            </w:r>
            <w:r w:rsidR="00EB3CBA">
              <w:rPr>
                <w:rFonts w:eastAsiaTheme="minorEastAsia" w:cs="Arial"/>
              </w:rPr>
              <w:t>hief Marketing and Content Officer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7C5F7DA1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23508D">
                    <w:rPr>
                      <w:rFonts w:eastAsiaTheme="minorEastAsia" w:cs="Arial"/>
                    </w:rPr>
                    <w:t>3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56E2F0E1" w:rsidR="00FD4960" w:rsidRPr="00E95233" w:rsidRDefault="00820F96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6DF74E3C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 April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0499B468" w:rsidR="00F203CB" w:rsidRPr="00E95233" w:rsidRDefault="00820F96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1A58475D" w:rsidR="00F203CB" w:rsidRPr="00E95233" w:rsidRDefault="00AA6CF7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 April</w:t>
            </w:r>
            <w:r>
              <w:rPr>
                <w:rFonts w:eastAsiaTheme="minorEastAsia" w:cs="Arial"/>
              </w:rPr>
              <w:t xml:space="preserve"> 2026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27B38291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  <w:r w:rsidR="00EB3CBA">
              <w:rPr>
                <w:rFonts w:eastAsiaTheme="minorEastAsia" w:cs="Arial"/>
              </w:rPr>
              <w:t xml:space="preserve"> Brown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25C8A1FF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PDMR, </w:t>
            </w:r>
            <w:r w:rsidR="00EB3CBA">
              <w:rPr>
                <w:rFonts w:eastAsiaTheme="minorEastAsia" w:cs="Arial"/>
              </w:rPr>
              <w:t>Chief Legal and People Officer,</w:t>
            </w:r>
            <w:r>
              <w:rPr>
                <w:rFonts w:eastAsiaTheme="minorEastAsia" w:cs="Arial"/>
              </w:rPr>
              <w:t xml:space="preserve">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7BBEBA80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8638C8">
                    <w:rPr>
                      <w:rFonts w:eastAsiaTheme="minorEastAsia" w:cs="Arial"/>
                    </w:rPr>
                    <w:t>0.1</w:t>
                  </w:r>
                  <w:r w:rsidR="0023508D">
                    <w:rPr>
                      <w:rFonts w:eastAsiaTheme="minorEastAsia" w:cs="Arial"/>
                    </w:rPr>
                    <w:t>3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249A85BA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0A545D2C" w:rsidR="003524E0" w:rsidRPr="00E95233" w:rsidRDefault="001D558B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  <w:r w:rsidR="0023508D">
              <w:rPr>
                <w:rFonts w:eastAsiaTheme="minorEastAsia" w:cs="Arial"/>
              </w:rPr>
              <w:t>3 April</w:t>
            </w:r>
            <w:r w:rsid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4B69BC06" w:rsidR="003524E0" w:rsidRPr="00E95233" w:rsidRDefault="00820F96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</w:t>
                  </w:r>
                  <w:r w:rsidR="0023508D">
                    <w:rPr>
                      <w:rFonts w:eastAsiaTheme="minorEastAsia" w:cs="Arial"/>
                    </w:rPr>
                    <w:t>154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AA6CF7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6630B434" w:rsidR="003524E0" w:rsidRPr="00AA6CF7" w:rsidRDefault="00AA6CF7" w:rsidP="00AA6C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Theme="minorEastAsia" w:cs="Arial"/>
              </w:rPr>
            </w:pPr>
            <w:r w:rsidRPr="00AA6CF7">
              <w:rPr>
                <w:rFonts w:eastAsiaTheme="minorEastAsia" w:cs="Arial"/>
              </w:rPr>
              <w:t xml:space="preserve"> 1</w:t>
            </w:r>
            <w:r w:rsidR="0023508D">
              <w:rPr>
                <w:rFonts w:eastAsiaTheme="minorEastAsia" w:cs="Arial"/>
              </w:rPr>
              <w:t>3 April</w:t>
            </w:r>
            <w:r w:rsidRPr="00AA6CF7">
              <w:rPr>
                <w:rFonts w:eastAsiaTheme="minorEastAsia" w:cs="Arial"/>
              </w:rPr>
              <w:t xml:space="preserve"> 2026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00C43D57" w14:textId="0344C17B" w:rsidR="00F06D89" w:rsidRDefault="00F06D89">
      <w:pPr>
        <w:jc w:val="left"/>
        <w:rPr>
          <w:rFonts w:cs="Arial"/>
          <w:b/>
          <w:lang w:val="en"/>
        </w:rPr>
      </w:pPr>
    </w:p>
    <w:p w14:paraId="50E6BE51" w14:textId="21CAEBC9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11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12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t>Peter Steel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7496 3000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8763" w14:textId="77777777" w:rsidR="00936350" w:rsidRDefault="00936350">
      <w:r>
        <w:separator/>
      </w:r>
    </w:p>
  </w:endnote>
  <w:endnote w:type="continuationSeparator" w:id="0">
    <w:p w14:paraId="7AC21F54" w14:textId="77777777" w:rsidR="00936350" w:rsidRDefault="0093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EndPr/>
    <w:sdtContent>
      <w:p w14:paraId="4908764C" w14:textId="7D7F1D26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12F16C32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146F84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FFA8" w14:textId="77777777" w:rsidR="00936350" w:rsidRDefault="00936350">
      <w:r>
        <w:separator/>
      </w:r>
    </w:p>
  </w:footnote>
  <w:footnote w:type="continuationSeparator" w:id="0">
    <w:p w14:paraId="07902023" w14:textId="77777777" w:rsidR="00936350" w:rsidRDefault="0093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13AD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3D02"/>
    <w:rsid w:val="000D651A"/>
    <w:rsid w:val="000E7F74"/>
    <w:rsid w:val="000F0215"/>
    <w:rsid w:val="000F408B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46F84"/>
    <w:rsid w:val="00151185"/>
    <w:rsid w:val="0015212F"/>
    <w:rsid w:val="001535FA"/>
    <w:rsid w:val="00153DF5"/>
    <w:rsid w:val="0015403C"/>
    <w:rsid w:val="001579FE"/>
    <w:rsid w:val="00160198"/>
    <w:rsid w:val="00166BBC"/>
    <w:rsid w:val="00170480"/>
    <w:rsid w:val="00175C50"/>
    <w:rsid w:val="00181E11"/>
    <w:rsid w:val="0018405F"/>
    <w:rsid w:val="0018568A"/>
    <w:rsid w:val="00187D2E"/>
    <w:rsid w:val="00190135"/>
    <w:rsid w:val="001955B6"/>
    <w:rsid w:val="001A3C19"/>
    <w:rsid w:val="001A6BD8"/>
    <w:rsid w:val="001B0993"/>
    <w:rsid w:val="001B14E4"/>
    <w:rsid w:val="001B56B9"/>
    <w:rsid w:val="001C0FB1"/>
    <w:rsid w:val="001C2AEF"/>
    <w:rsid w:val="001C5139"/>
    <w:rsid w:val="001C5CD7"/>
    <w:rsid w:val="001C7951"/>
    <w:rsid w:val="001D0F39"/>
    <w:rsid w:val="001D558B"/>
    <w:rsid w:val="001E0B4B"/>
    <w:rsid w:val="001E1072"/>
    <w:rsid w:val="001E6426"/>
    <w:rsid w:val="001E682C"/>
    <w:rsid w:val="001F0C32"/>
    <w:rsid w:val="001F0ED7"/>
    <w:rsid w:val="001F51DB"/>
    <w:rsid w:val="001F57D4"/>
    <w:rsid w:val="001F68BE"/>
    <w:rsid w:val="002049FC"/>
    <w:rsid w:val="002124A4"/>
    <w:rsid w:val="00213D74"/>
    <w:rsid w:val="00214A33"/>
    <w:rsid w:val="00225CF9"/>
    <w:rsid w:val="0023508D"/>
    <w:rsid w:val="00236A00"/>
    <w:rsid w:val="00246C9E"/>
    <w:rsid w:val="00254DA5"/>
    <w:rsid w:val="00256430"/>
    <w:rsid w:val="00265B9B"/>
    <w:rsid w:val="00266F52"/>
    <w:rsid w:val="00273057"/>
    <w:rsid w:val="002765C5"/>
    <w:rsid w:val="00281650"/>
    <w:rsid w:val="00282A2C"/>
    <w:rsid w:val="00285182"/>
    <w:rsid w:val="00286E48"/>
    <w:rsid w:val="002951D0"/>
    <w:rsid w:val="00297BD6"/>
    <w:rsid w:val="002A12B8"/>
    <w:rsid w:val="002B0C92"/>
    <w:rsid w:val="002B4974"/>
    <w:rsid w:val="002C28E9"/>
    <w:rsid w:val="002D1823"/>
    <w:rsid w:val="002D24D0"/>
    <w:rsid w:val="002D53C4"/>
    <w:rsid w:val="002E56EC"/>
    <w:rsid w:val="002E6D65"/>
    <w:rsid w:val="002F0B77"/>
    <w:rsid w:val="002F1F07"/>
    <w:rsid w:val="00301D96"/>
    <w:rsid w:val="00304D86"/>
    <w:rsid w:val="00310086"/>
    <w:rsid w:val="00312881"/>
    <w:rsid w:val="00313CA2"/>
    <w:rsid w:val="0031449E"/>
    <w:rsid w:val="003168F0"/>
    <w:rsid w:val="00316EC9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47116"/>
    <w:rsid w:val="0035143D"/>
    <w:rsid w:val="003524E0"/>
    <w:rsid w:val="00354E30"/>
    <w:rsid w:val="003620A5"/>
    <w:rsid w:val="00363958"/>
    <w:rsid w:val="00366118"/>
    <w:rsid w:val="003675DC"/>
    <w:rsid w:val="0037041F"/>
    <w:rsid w:val="0037224B"/>
    <w:rsid w:val="00373889"/>
    <w:rsid w:val="0037481C"/>
    <w:rsid w:val="003810C1"/>
    <w:rsid w:val="00383000"/>
    <w:rsid w:val="003850DA"/>
    <w:rsid w:val="003B421E"/>
    <w:rsid w:val="003B6B72"/>
    <w:rsid w:val="003C3264"/>
    <w:rsid w:val="003C5E0D"/>
    <w:rsid w:val="003C71B6"/>
    <w:rsid w:val="003D15D0"/>
    <w:rsid w:val="003D46D3"/>
    <w:rsid w:val="003E30A9"/>
    <w:rsid w:val="003E3A5D"/>
    <w:rsid w:val="003E6AD9"/>
    <w:rsid w:val="003F1CA4"/>
    <w:rsid w:val="0040177D"/>
    <w:rsid w:val="00403500"/>
    <w:rsid w:val="00417F0E"/>
    <w:rsid w:val="00423B21"/>
    <w:rsid w:val="00424839"/>
    <w:rsid w:val="0043029D"/>
    <w:rsid w:val="00435F25"/>
    <w:rsid w:val="00436C0E"/>
    <w:rsid w:val="00441A63"/>
    <w:rsid w:val="004439A5"/>
    <w:rsid w:val="004457F8"/>
    <w:rsid w:val="00447084"/>
    <w:rsid w:val="0045020B"/>
    <w:rsid w:val="00452E06"/>
    <w:rsid w:val="0045564F"/>
    <w:rsid w:val="00466082"/>
    <w:rsid w:val="00474559"/>
    <w:rsid w:val="004748ED"/>
    <w:rsid w:val="004937CF"/>
    <w:rsid w:val="004949EF"/>
    <w:rsid w:val="004A3856"/>
    <w:rsid w:val="004A616B"/>
    <w:rsid w:val="004B2305"/>
    <w:rsid w:val="004B35DE"/>
    <w:rsid w:val="004C1A01"/>
    <w:rsid w:val="004C4DC2"/>
    <w:rsid w:val="004D35B9"/>
    <w:rsid w:val="004D4CB6"/>
    <w:rsid w:val="004E06C7"/>
    <w:rsid w:val="004E160B"/>
    <w:rsid w:val="004E234D"/>
    <w:rsid w:val="004E41EC"/>
    <w:rsid w:val="004E430B"/>
    <w:rsid w:val="004F1462"/>
    <w:rsid w:val="00511A1C"/>
    <w:rsid w:val="005142D8"/>
    <w:rsid w:val="00516673"/>
    <w:rsid w:val="0051789C"/>
    <w:rsid w:val="00523E7C"/>
    <w:rsid w:val="00525A47"/>
    <w:rsid w:val="0053071B"/>
    <w:rsid w:val="00530DB0"/>
    <w:rsid w:val="005319F2"/>
    <w:rsid w:val="005352F3"/>
    <w:rsid w:val="0054521B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254E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65907"/>
    <w:rsid w:val="0067305F"/>
    <w:rsid w:val="006748F8"/>
    <w:rsid w:val="006758C6"/>
    <w:rsid w:val="00676B91"/>
    <w:rsid w:val="006805A5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1B6"/>
    <w:rsid w:val="006B7B81"/>
    <w:rsid w:val="006C6F08"/>
    <w:rsid w:val="006D17B5"/>
    <w:rsid w:val="006D29CA"/>
    <w:rsid w:val="006D62F3"/>
    <w:rsid w:val="006E07D4"/>
    <w:rsid w:val="006F0FAE"/>
    <w:rsid w:val="006F10CB"/>
    <w:rsid w:val="006F466A"/>
    <w:rsid w:val="00707FAE"/>
    <w:rsid w:val="007114EC"/>
    <w:rsid w:val="00714358"/>
    <w:rsid w:val="00722600"/>
    <w:rsid w:val="00725425"/>
    <w:rsid w:val="00725DF4"/>
    <w:rsid w:val="007373A2"/>
    <w:rsid w:val="0073764C"/>
    <w:rsid w:val="00740CEB"/>
    <w:rsid w:val="007445CE"/>
    <w:rsid w:val="00746E38"/>
    <w:rsid w:val="007500C4"/>
    <w:rsid w:val="0075622A"/>
    <w:rsid w:val="00760080"/>
    <w:rsid w:val="0077008B"/>
    <w:rsid w:val="0077353E"/>
    <w:rsid w:val="00780BE0"/>
    <w:rsid w:val="00782CE6"/>
    <w:rsid w:val="007833C1"/>
    <w:rsid w:val="0078378B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5615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0F96"/>
    <w:rsid w:val="008215E0"/>
    <w:rsid w:val="008220C5"/>
    <w:rsid w:val="00822770"/>
    <w:rsid w:val="00826E0D"/>
    <w:rsid w:val="008325F3"/>
    <w:rsid w:val="00833C8C"/>
    <w:rsid w:val="00836970"/>
    <w:rsid w:val="00836A0B"/>
    <w:rsid w:val="00840180"/>
    <w:rsid w:val="00843CDA"/>
    <w:rsid w:val="008510FC"/>
    <w:rsid w:val="00852CDA"/>
    <w:rsid w:val="008548CD"/>
    <w:rsid w:val="008638C8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4680"/>
    <w:rsid w:val="008D5BF9"/>
    <w:rsid w:val="008F2429"/>
    <w:rsid w:val="008F379E"/>
    <w:rsid w:val="008F7E9A"/>
    <w:rsid w:val="0090108D"/>
    <w:rsid w:val="00903F2A"/>
    <w:rsid w:val="00905E69"/>
    <w:rsid w:val="00911CCD"/>
    <w:rsid w:val="00914EE5"/>
    <w:rsid w:val="00916333"/>
    <w:rsid w:val="00916BAA"/>
    <w:rsid w:val="009239B7"/>
    <w:rsid w:val="00927FBB"/>
    <w:rsid w:val="0093360F"/>
    <w:rsid w:val="00936350"/>
    <w:rsid w:val="009369BC"/>
    <w:rsid w:val="00936CA0"/>
    <w:rsid w:val="009512E8"/>
    <w:rsid w:val="0095152A"/>
    <w:rsid w:val="0095630B"/>
    <w:rsid w:val="009569EA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680"/>
    <w:rsid w:val="009B283B"/>
    <w:rsid w:val="009B37AE"/>
    <w:rsid w:val="009B4FD8"/>
    <w:rsid w:val="009B5D13"/>
    <w:rsid w:val="009B7D7F"/>
    <w:rsid w:val="009C2768"/>
    <w:rsid w:val="009C5878"/>
    <w:rsid w:val="009C64BF"/>
    <w:rsid w:val="009C7761"/>
    <w:rsid w:val="009D2A27"/>
    <w:rsid w:val="009D5157"/>
    <w:rsid w:val="009D55E9"/>
    <w:rsid w:val="009D62D7"/>
    <w:rsid w:val="009E1238"/>
    <w:rsid w:val="009E2D9D"/>
    <w:rsid w:val="009E3779"/>
    <w:rsid w:val="009E3833"/>
    <w:rsid w:val="009E631F"/>
    <w:rsid w:val="009E64CA"/>
    <w:rsid w:val="009E7540"/>
    <w:rsid w:val="009F3A31"/>
    <w:rsid w:val="009F46E8"/>
    <w:rsid w:val="00A01121"/>
    <w:rsid w:val="00A0271D"/>
    <w:rsid w:val="00A04DCB"/>
    <w:rsid w:val="00A06B66"/>
    <w:rsid w:val="00A0738F"/>
    <w:rsid w:val="00A24203"/>
    <w:rsid w:val="00A2465A"/>
    <w:rsid w:val="00A374C0"/>
    <w:rsid w:val="00A37A60"/>
    <w:rsid w:val="00A4353B"/>
    <w:rsid w:val="00A43C75"/>
    <w:rsid w:val="00A46D7C"/>
    <w:rsid w:val="00A54248"/>
    <w:rsid w:val="00A629B1"/>
    <w:rsid w:val="00A67C8D"/>
    <w:rsid w:val="00A724B0"/>
    <w:rsid w:val="00A86BE6"/>
    <w:rsid w:val="00A87AF3"/>
    <w:rsid w:val="00AA0D94"/>
    <w:rsid w:val="00AA6CF7"/>
    <w:rsid w:val="00AA7510"/>
    <w:rsid w:val="00AB307A"/>
    <w:rsid w:val="00AB3D3C"/>
    <w:rsid w:val="00AB511B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2874"/>
    <w:rsid w:val="00B04D86"/>
    <w:rsid w:val="00B11ACC"/>
    <w:rsid w:val="00B24184"/>
    <w:rsid w:val="00B25E83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09D"/>
    <w:rsid w:val="00B716F7"/>
    <w:rsid w:val="00B71B9F"/>
    <w:rsid w:val="00B764E0"/>
    <w:rsid w:val="00B804A3"/>
    <w:rsid w:val="00B82A69"/>
    <w:rsid w:val="00B91900"/>
    <w:rsid w:val="00B921CC"/>
    <w:rsid w:val="00B97FB0"/>
    <w:rsid w:val="00BA1B7D"/>
    <w:rsid w:val="00BA36AD"/>
    <w:rsid w:val="00BA499E"/>
    <w:rsid w:val="00BA6D81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05B1F"/>
    <w:rsid w:val="00C137F3"/>
    <w:rsid w:val="00C23759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13BB"/>
    <w:rsid w:val="00C543F2"/>
    <w:rsid w:val="00C62CB4"/>
    <w:rsid w:val="00C63F93"/>
    <w:rsid w:val="00C67F8F"/>
    <w:rsid w:val="00C7184F"/>
    <w:rsid w:val="00C73035"/>
    <w:rsid w:val="00C9330A"/>
    <w:rsid w:val="00C955AF"/>
    <w:rsid w:val="00CA14A5"/>
    <w:rsid w:val="00CA499E"/>
    <w:rsid w:val="00CB0384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2270E"/>
    <w:rsid w:val="00D24FC9"/>
    <w:rsid w:val="00D32E1E"/>
    <w:rsid w:val="00D3545E"/>
    <w:rsid w:val="00D4371F"/>
    <w:rsid w:val="00D43A77"/>
    <w:rsid w:val="00D4620B"/>
    <w:rsid w:val="00D5421E"/>
    <w:rsid w:val="00D57710"/>
    <w:rsid w:val="00D61AAB"/>
    <w:rsid w:val="00D61F59"/>
    <w:rsid w:val="00D64978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0B41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74D"/>
    <w:rsid w:val="00E529F7"/>
    <w:rsid w:val="00E5637F"/>
    <w:rsid w:val="00E60879"/>
    <w:rsid w:val="00E63183"/>
    <w:rsid w:val="00E70658"/>
    <w:rsid w:val="00E768E2"/>
    <w:rsid w:val="00E76FBD"/>
    <w:rsid w:val="00EA6483"/>
    <w:rsid w:val="00EA7094"/>
    <w:rsid w:val="00EB2A27"/>
    <w:rsid w:val="00EB3CBA"/>
    <w:rsid w:val="00EC23FC"/>
    <w:rsid w:val="00EC33CA"/>
    <w:rsid w:val="00ED3427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06C7E"/>
    <w:rsid w:val="00F06D89"/>
    <w:rsid w:val="00F15E04"/>
    <w:rsid w:val="00F173A8"/>
    <w:rsid w:val="00F203CB"/>
    <w:rsid w:val="00F22A01"/>
    <w:rsid w:val="00F3383B"/>
    <w:rsid w:val="00F35B18"/>
    <w:rsid w:val="00F36541"/>
    <w:rsid w:val="00F406A3"/>
    <w:rsid w:val="00F42C15"/>
    <w:rsid w:val="00F46090"/>
    <w:rsid w:val="00F473A2"/>
    <w:rsid w:val="00F50D31"/>
    <w:rsid w:val="00F52D2B"/>
    <w:rsid w:val="00F54467"/>
    <w:rsid w:val="00F6117E"/>
    <w:rsid w:val="00F64E2F"/>
    <w:rsid w:val="00F724D4"/>
    <w:rsid w:val="00F7447D"/>
    <w:rsid w:val="00F74701"/>
    <w:rsid w:val="00F87731"/>
    <w:rsid w:val="00F974C5"/>
    <w:rsid w:val="00FB3E8A"/>
    <w:rsid w:val="00FB42EA"/>
    <w:rsid w:val="00FB4B54"/>
    <w:rsid w:val="00FB6578"/>
    <w:rsid w:val="00FB6EC4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0C34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ingercm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pfactory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0D3D02"/>
    <w:rsid w:val="000D61C2"/>
    <w:rsid w:val="001128B7"/>
    <w:rsid w:val="00153DF5"/>
    <w:rsid w:val="0015403C"/>
    <w:rsid w:val="00176610"/>
    <w:rsid w:val="00197F5D"/>
    <w:rsid w:val="001A1150"/>
    <w:rsid w:val="001B30C6"/>
    <w:rsid w:val="001F0935"/>
    <w:rsid w:val="00214A33"/>
    <w:rsid w:val="00256430"/>
    <w:rsid w:val="002A57AD"/>
    <w:rsid w:val="002B3D68"/>
    <w:rsid w:val="002C28E9"/>
    <w:rsid w:val="002D42F7"/>
    <w:rsid w:val="002D570C"/>
    <w:rsid w:val="002F1F07"/>
    <w:rsid w:val="003073AD"/>
    <w:rsid w:val="00325395"/>
    <w:rsid w:val="00383D73"/>
    <w:rsid w:val="003A59FE"/>
    <w:rsid w:val="003C3884"/>
    <w:rsid w:val="003D0CAD"/>
    <w:rsid w:val="003F1CA4"/>
    <w:rsid w:val="00424E7F"/>
    <w:rsid w:val="00455F67"/>
    <w:rsid w:val="00481159"/>
    <w:rsid w:val="00485629"/>
    <w:rsid w:val="004A030B"/>
    <w:rsid w:val="004F59FB"/>
    <w:rsid w:val="00520B77"/>
    <w:rsid w:val="005255AE"/>
    <w:rsid w:val="005352F3"/>
    <w:rsid w:val="00584F02"/>
    <w:rsid w:val="00595340"/>
    <w:rsid w:val="00595796"/>
    <w:rsid w:val="005D7E76"/>
    <w:rsid w:val="005E0DC6"/>
    <w:rsid w:val="00655300"/>
    <w:rsid w:val="00673301"/>
    <w:rsid w:val="006805A5"/>
    <w:rsid w:val="006B3EA5"/>
    <w:rsid w:val="006C6F08"/>
    <w:rsid w:val="006D29CA"/>
    <w:rsid w:val="006F0FAE"/>
    <w:rsid w:val="007114EC"/>
    <w:rsid w:val="0077008B"/>
    <w:rsid w:val="00781FAF"/>
    <w:rsid w:val="0078378B"/>
    <w:rsid w:val="007D5F1A"/>
    <w:rsid w:val="007D7F28"/>
    <w:rsid w:val="00822770"/>
    <w:rsid w:val="008316B8"/>
    <w:rsid w:val="0087490C"/>
    <w:rsid w:val="008A399A"/>
    <w:rsid w:val="008B4034"/>
    <w:rsid w:val="008D4680"/>
    <w:rsid w:val="008E76CE"/>
    <w:rsid w:val="008F379E"/>
    <w:rsid w:val="00924DFF"/>
    <w:rsid w:val="009A039F"/>
    <w:rsid w:val="009D1223"/>
    <w:rsid w:val="009E2333"/>
    <w:rsid w:val="009F5737"/>
    <w:rsid w:val="00A23192"/>
    <w:rsid w:val="00A303BB"/>
    <w:rsid w:val="00A76E19"/>
    <w:rsid w:val="00A86BE6"/>
    <w:rsid w:val="00AC2494"/>
    <w:rsid w:val="00AF69BE"/>
    <w:rsid w:val="00B068BF"/>
    <w:rsid w:val="00B2359D"/>
    <w:rsid w:val="00B24184"/>
    <w:rsid w:val="00B25E83"/>
    <w:rsid w:val="00B7109D"/>
    <w:rsid w:val="00B71B9F"/>
    <w:rsid w:val="00B86B1E"/>
    <w:rsid w:val="00B91900"/>
    <w:rsid w:val="00B942C2"/>
    <w:rsid w:val="00BA6D81"/>
    <w:rsid w:val="00BC129F"/>
    <w:rsid w:val="00BF6D8D"/>
    <w:rsid w:val="00C05B1F"/>
    <w:rsid w:val="00C21483"/>
    <w:rsid w:val="00C36C7D"/>
    <w:rsid w:val="00C46962"/>
    <w:rsid w:val="00C7184F"/>
    <w:rsid w:val="00C84ACD"/>
    <w:rsid w:val="00CB0384"/>
    <w:rsid w:val="00CC37DC"/>
    <w:rsid w:val="00D4371F"/>
    <w:rsid w:val="00D55552"/>
    <w:rsid w:val="00D57710"/>
    <w:rsid w:val="00D714FC"/>
    <w:rsid w:val="00D86548"/>
    <w:rsid w:val="00D93D18"/>
    <w:rsid w:val="00DD0B41"/>
    <w:rsid w:val="00DD7E5C"/>
    <w:rsid w:val="00DF234B"/>
    <w:rsid w:val="00EA6912"/>
    <w:rsid w:val="00EF39C6"/>
    <w:rsid w:val="00F06C7E"/>
    <w:rsid w:val="00F15E04"/>
    <w:rsid w:val="00F173A8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4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C601266E-CA95-42EF-B59D-AD88F316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844E7-24DB-4FCD-955A-E011D0DD9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1791F-2911-4DCD-9099-DCF796E55447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4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8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Brown</dc:creator>
  <cp:lastModifiedBy>Julianna Brown</cp:lastModifiedBy>
  <cp:revision>2</cp:revision>
  <cp:lastPrinted>2025-08-13T13:59:00Z</cp:lastPrinted>
  <dcterms:created xsi:type="dcterms:W3CDTF">2026-04-14T15:17:00Z</dcterms:created>
  <dcterms:modified xsi:type="dcterms:W3CDTF">2026-04-14T15:17:00Z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  <property fmtid="{D5CDD505-2E9C-101B-9397-08002B2CF9AE}" pid="14" name="ContentTypeId">
    <vt:lpwstr>0x010100455AAFF32A71514F9F285F00F06B549E</vt:lpwstr>
  </property>
  <property fmtid="{D5CDD505-2E9C-101B-9397-08002B2CF9AE}" pid="15" name="MediaServiceImageTags">
    <vt:lpwstr/>
  </property>
</Properties>
</file>